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spacing w:line="380" w:lineRule="exact"/>
        <w:jc w:val="center"/>
        <w:rPr>
          <w:rFonts w:hint="eastAsia" w:asciiTheme="minorEastAsia" w:hAnsiTheme="minorEastAsia" w:eastAsiaTheme="minorEastAsia"/>
        </w:rPr>
      </w:pPr>
      <w:r>
        <w:rPr>
          <w:rFonts w:hint="eastAsia" w:asciiTheme="minorEastAsia" w:hAnsiTheme="minorEastAsia" w:eastAsiaTheme="minorEastAsia"/>
          <w:sz w:val="24"/>
        </w:rPr>
        <w:t>意見公募（パブリックコメント）の実施結果について</w:t>
      </w:r>
    </w:p>
    <w:p>
      <w:pPr>
        <w:pStyle w:val="0"/>
        <w:spacing w:line="380" w:lineRule="exact"/>
        <w:jc w:val="center"/>
        <w:rPr>
          <w:rFonts w:hint="eastAsia" w:asciiTheme="minorEastAsia" w:hAnsiTheme="minorEastAsia" w:eastAsiaTheme="minorEastAsia"/>
        </w:rPr>
      </w:pPr>
    </w:p>
    <w:tbl>
      <w:tblPr>
        <w:tblStyle w:val="17"/>
        <w:tblpPr w:leftFromText="142" w:rightFromText="142" w:topFromText="0" w:bottomFromText="0" w:vertAnchor="text" w:horzAnchor="text" w:tblpX="-599" w:tblpY="16"/>
        <w:tblW w:w="0" w:type="auto"/>
        <w:tblLayout w:type="fixed"/>
        <w:tblLook w:firstRow="1" w:lastRow="0" w:firstColumn="1" w:lastColumn="0" w:noHBand="0" w:noVBand="1" w:val="04A0"/>
      </w:tblPr>
      <w:tblGrid>
        <w:gridCol w:w="548"/>
        <w:gridCol w:w="1322"/>
        <w:gridCol w:w="2907"/>
        <w:gridCol w:w="5688"/>
      </w:tblGrid>
      <w:tr>
        <w:trPr>
          <w:trHeight w:val="359" w:hRule="atLeast"/>
        </w:trPr>
        <w:tc>
          <w:tcPr>
            <w:tcW w:w="1870" w:type="dxa"/>
            <w:gridSpan w:val="2"/>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案件名</w:t>
            </w:r>
          </w:p>
        </w:tc>
        <w:tc>
          <w:tcPr>
            <w:tcW w:w="8595" w:type="dxa"/>
            <w:gridSpan w:val="2"/>
            <w:vAlign w:val="top"/>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第６次登別市社会教育中期計画（案）</w:t>
            </w:r>
          </w:p>
        </w:tc>
      </w:tr>
      <w:tr>
        <w:trPr>
          <w:trHeight w:val="359" w:hRule="atLeast"/>
        </w:trPr>
        <w:tc>
          <w:tcPr>
            <w:tcW w:w="1870" w:type="dxa"/>
            <w:gridSpan w:val="2"/>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意見の募集期間</w:t>
            </w:r>
          </w:p>
        </w:tc>
        <w:tc>
          <w:tcPr>
            <w:tcW w:w="8595" w:type="dxa"/>
            <w:gridSpan w:val="2"/>
            <w:vAlign w:val="top"/>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令和３年６月１日（火）から令和３年６月３０日（水）まで</w:t>
            </w:r>
          </w:p>
        </w:tc>
      </w:tr>
      <w:tr>
        <w:trPr>
          <w:trHeight w:val="359" w:hRule="atLeast"/>
        </w:trPr>
        <w:tc>
          <w:tcPr>
            <w:tcW w:w="1870" w:type="dxa"/>
            <w:gridSpan w:val="2"/>
            <w:vAlign w:val="center"/>
          </w:tcPr>
          <w:p>
            <w:pPr>
              <w:pStyle w:val="0"/>
              <w:jc w:val="center"/>
              <w:rPr>
                <w:rFonts w:hint="eastAsia"/>
                <w:sz w:val="24"/>
              </w:rPr>
            </w:pPr>
            <w:r>
              <w:rPr>
                <w:rFonts w:hint="eastAsia"/>
                <w:sz w:val="21"/>
              </w:rPr>
              <w:t>担当グループ</w:t>
            </w:r>
          </w:p>
        </w:tc>
        <w:tc>
          <w:tcPr>
            <w:tcW w:w="8595" w:type="dxa"/>
            <w:gridSpan w:val="2"/>
            <w:vAlign w:val="top"/>
          </w:tcPr>
          <w:p>
            <w:pPr>
              <w:pStyle w:val="0"/>
              <w:rPr>
                <w:rFonts w:hint="eastAsia"/>
                <w:sz w:val="21"/>
              </w:rPr>
            </w:pPr>
            <w:r>
              <w:rPr>
                <w:rFonts w:hint="eastAsia"/>
                <w:sz w:val="21"/>
              </w:rPr>
              <w:t>教育部社会教育グループ</w:t>
            </w:r>
          </w:p>
        </w:tc>
      </w:tr>
      <w:tr>
        <w:trPr>
          <w:trHeight w:val="359" w:hRule="atLeast"/>
        </w:trPr>
        <w:tc>
          <w:tcPr>
            <w:tcW w:w="1870" w:type="dxa"/>
            <w:gridSpan w:val="2"/>
            <w:vAlign w:val="center"/>
          </w:tcPr>
          <w:p>
            <w:pPr>
              <w:pStyle w:val="0"/>
              <w:jc w:val="center"/>
              <w:rPr>
                <w:rFonts w:hint="eastAsia"/>
              </w:rPr>
            </w:pPr>
            <w:r>
              <w:rPr>
                <w:rFonts w:hint="eastAsia"/>
              </w:rPr>
              <w:t>意見の提出件数</w:t>
            </w:r>
          </w:p>
        </w:tc>
        <w:tc>
          <w:tcPr>
            <w:tcW w:w="8595" w:type="dxa"/>
            <w:gridSpan w:val="2"/>
            <w:vAlign w:val="top"/>
          </w:tcPr>
          <w:p>
            <w:pPr>
              <w:pStyle w:val="0"/>
              <w:rPr>
                <w:rFonts w:hint="eastAsia"/>
              </w:rPr>
            </w:pPr>
            <w:r>
              <w:rPr>
                <w:rFonts w:hint="eastAsia"/>
              </w:rPr>
              <w:t>１件（２項目）</w:t>
            </w:r>
          </w:p>
        </w:tc>
      </w:tr>
      <w:tr>
        <w:trPr>
          <w:trHeight w:val="359" w:hRule="atLeast"/>
        </w:trPr>
        <w:tc>
          <w:tcPr>
            <w:tcW w:w="1046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提出された意見の要旨と市の考え方</w:t>
            </w:r>
          </w:p>
        </w:tc>
      </w:tr>
      <w:tr>
        <w:trPr>
          <w:trHeight w:val="359" w:hRule="atLeast"/>
        </w:trPr>
        <w:tc>
          <w:tcPr>
            <w:tcW w:w="54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w:t>
            </w:r>
          </w:p>
        </w:tc>
        <w:tc>
          <w:tcPr>
            <w:tcW w:w="4229"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意見の要旨</w:t>
            </w:r>
          </w:p>
        </w:tc>
        <w:tc>
          <w:tcPr>
            <w:tcW w:w="568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市の考え方</w:t>
            </w:r>
          </w:p>
        </w:tc>
      </w:tr>
      <w:tr>
        <w:trPr>
          <w:trHeight w:val="11751" w:hRule="atLeast"/>
        </w:trPr>
        <w:tc>
          <w:tcPr>
            <w:tcW w:w="548"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１</w:t>
            </w:r>
          </w:p>
        </w:tc>
        <w:tc>
          <w:tcPr>
            <w:tcW w:w="4229"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①</w:t>
            </w:r>
            <w:r>
              <w:rPr>
                <w:rFonts w:hint="eastAsia" w:asciiTheme="minorEastAsia" w:hAnsiTheme="minorEastAsia" w:eastAsiaTheme="minorEastAsia"/>
                <w:sz w:val="21"/>
              </w:rPr>
              <w:t>GIGA</w:t>
            </w:r>
            <w:r>
              <w:rPr>
                <w:rFonts w:hint="eastAsia" w:asciiTheme="minorEastAsia" w:hAnsiTheme="minorEastAsia" w:eastAsiaTheme="minorEastAsia"/>
                <w:sz w:val="21"/>
              </w:rPr>
              <w:t>スクール構想について</w:t>
            </w:r>
          </w:p>
          <w:p>
            <w:pPr>
              <w:pStyle w:val="0"/>
              <w:ind w:firstLine="210" w:firstLineChars="100"/>
              <w:rPr>
                <w:rFonts w:hint="eastAsia" w:asciiTheme="minorEastAsia" w:hAnsiTheme="minorEastAsia" w:eastAsiaTheme="minorEastAsia"/>
                <w:sz w:val="21"/>
              </w:rPr>
            </w:pPr>
            <w:r>
              <w:rPr>
                <w:rFonts w:hint="eastAsia" w:asciiTheme="minorEastAsia" w:hAnsiTheme="minorEastAsia" w:eastAsiaTheme="minorEastAsia"/>
                <w:sz w:val="21"/>
              </w:rPr>
              <w:t>他市では、端末の価格設定について問題視する報道がされている場合があります。</w:t>
            </w:r>
          </w:p>
          <w:p>
            <w:pPr>
              <w:pStyle w:val="0"/>
              <w:ind w:firstLine="210" w:firstLineChars="100"/>
              <w:rPr>
                <w:rFonts w:hint="eastAsia" w:asciiTheme="minorEastAsia" w:hAnsiTheme="minorEastAsia" w:eastAsiaTheme="minorEastAsia"/>
                <w:sz w:val="21"/>
              </w:rPr>
            </w:pPr>
            <w:r>
              <w:rPr>
                <w:rFonts w:hint="eastAsia" w:asciiTheme="minorEastAsia" w:hAnsiTheme="minorEastAsia" w:eastAsiaTheme="minorEastAsia"/>
                <w:sz w:val="21"/>
              </w:rPr>
              <w:t>そこで、費用負担について市民・保護者が納得する形や、賄賂等疑念を持たれない透明性のある策定が必要と考えます。</w:t>
            </w:r>
          </w:p>
          <w:p>
            <w:pPr>
              <w:pStyle w:val="0"/>
              <w:ind w:firstLine="210" w:firstLineChars="100"/>
              <w:rPr>
                <w:rFonts w:hint="eastAsia" w:asciiTheme="minorEastAsia" w:hAnsiTheme="minorEastAsia" w:eastAsiaTheme="minorEastAsia"/>
                <w:sz w:val="21"/>
              </w:rPr>
            </w:pPr>
            <w:r>
              <w:rPr>
                <w:rFonts w:hint="eastAsia" w:asciiTheme="minorEastAsia" w:hAnsiTheme="minorEastAsia" w:eastAsiaTheme="minorEastAsia"/>
                <w:sz w:val="21"/>
              </w:rPr>
              <w:t>この点について記述を求めます。</w:t>
            </w:r>
          </w:p>
          <w:p>
            <w:pPr>
              <w:pStyle w:val="0"/>
              <w:ind w:firstLine="210" w:firstLineChars="100"/>
              <w:rPr>
                <w:rFonts w:hint="eastAsia" w:asciiTheme="minorEastAsia" w:hAnsiTheme="minorEastAsia" w:eastAsiaTheme="minorEastAsia"/>
                <w:sz w:val="21"/>
              </w:rPr>
            </w:pPr>
            <w:r>
              <w:rPr>
                <w:rFonts w:hint="eastAsia" w:asciiTheme="minorEastAsia" w:hAnsiTheme="minorEastAsia" w:eastAsiaTheme="minorEastAsia"/>
                <w:sz w:val="21"/>
              </w:rPr>
              <w:t>また、端末の</w:t>
            </w:r>
            <w:r>
              <w:rPr>
                <w:rFonts w:hint="eastAsia" w:asciiTheme="minorEastAsia" w:hAnsiTheme="minorEastAsia" w:eastAsiaTheme="minorEastAsia"/>
                <w:sz w:val="21"/>
              </w:rPr>
              <w:t>OS</w:t>
            </w:r>
            <w:r>
              <w:rPr>
                <w:rFonts w:hint="eastAsia" w:asciiTheme="minorEastAsia" w:hAnsiTheme="minorEastAsia" w:eastAsiaTheme="minorEastAsia"/>
                <w:sz w:val="21"/>
              </w:rPr>
              <w:t>のあり方やスペックについてや、必要なソフトウエアのあり方についても透明性と記述が必要ではないか。</w:t>
            </w:r>
          </w:p>
          <w:p>
            <w:pPr>
              <w:pStyle w:val="0"/>
              <w:ind w:firstLine="210" w:firstLineChars="100"/>
              <w:rPr>
                <w:rFonts w:hint="eastAsia" w:asciiTheme="minorEastAsia" w:hAnsiTheme="minorEastAsia" w:eastAsiaTheme="minorEastAsia"/>
                <w:sz w:val="21"/>
              </w:rPr>
            </w:pPr>
            <w:r>
              <w:rPr>
                <w:rFonts w:hint="eastAsia" w:asciiTheme="minorEastAsia" w:hAnsiTheme="minorEastAsia" w:eastAsiaTheme="minorEastAsia"/>
                <w:sz w:val="21"/>
              </w:rPr>
              <w:t>極論ですが、既にリクルート社のスタディサプリ等教育役務がありますが、学校の先生の教え方のあり方も考えていく必要性があるのではないか。この事は「３家庭教育」とも密接に関わる問題だと考えます。</w:t>
            </w:r>
          </w:p>
          <w:p>
            <w:pPr>
              <w:pStyle w:val="0"/>
              <w:ind w:firstLine="210" w:firstLineChars="100"/>
              <w:rPr>
                <w:rFonts w:hint="eastAsia" w:asciiTheme="minorEastAsia" w:hAnsiTheme="minorEastAsia" w:eastAsiaTheme="minorEastAsia"/>
                <w:sz w:val="21"/>
              </w:rPr>
            </w:pPr>
          </w:p>
          <w:p>
            <w:pPr>
              <w:pStyle w:val="0"/>
              <w:ind w:firstLine="210" w:firstLineChars="100"/>
              <w:rPr>
                <w:rFonts w:hint="eastAsia" w:asciiTheme="minorEastAsia" w:hAnsiTheme="minorEastAsia" w:eastAsiaTheme="minorEastAsia"/>
                <w:sz w:val="21"/>
              </w:rPr>
            </w:pPr>
          </w:p>
          <w:p>
            <w:pPr>
              <w:pStyle w:val="0"/>
              <w:ind w:firstLine="210" w:firstLineChars="100"/>
              <w:rPr>
                <w:rFonts w:hint="eastAsia" w:asciiTheme="minorEastAsia" w:hAnsiTheme="minorEastAsia" w:eastAsiaTheme="minorEastAsia"/>
                <w:sz w:val="21"/>
              </w:rPr>
            </w:pPr>
          </w:p>
          <w:p>
            <w:pPr>
              <w:pStyle w:val="0"/>
              <w:ind w:firstLine="210" w:firstLineChars="100"/>
              <w:rPr>
                <w:rFonts w:hint="eastAsia" w:asciiTheme="minorEastAsia" w:hAnsiTheme="minorEastAsia" w:eastAsiaTheme="minorEastAsia"/>
                <w:sz w:val="21"/>
              </w:rPr>
            </w:pPr>
          </w:p>
          <w:p>
            <w:pPr>
              <w:pStyle w:val="0"/>
              <w:ind w:firstLine="210" w:firstLineChars="100"/>
              <w:rPr>
                <w:rFonts w:hint="eastAsia" w:asciiTheme="minorEastAsia" w:hAnsiTheme="minorEastAsia" w:eastAsiaTheme="minorEastAsia"/>
                <w:sz w:val="21"/>
              </w:rPr>
            </w:pPr>
          </w:p>
          <w:p>
            <w:pPr>
              <w:pStyle w:val="0"/>
              <w:ind w:firstLine="210" w:firstLineChars="100"/>
              <w:rPr>
                <w:rFonts w:hint="eastAsia" w:asciiTheme="minorEastAsia" w:hAnsiTheme="minorEastAsia" w:eastAsiaTheme="minorEastAsia"/>
                <w:sz w:val="21"/>
              </w:rPr>
            </w:pPr>
          </w:p>
          <w:p>
            <w:pPr>
              <w:pStyle w:val="0"/>
              <w:ind w:firstLine="210" w:firstLineChars="100"/>
              <w:rPr>
                <w:rFonts w:hint="eastAsia" w:asciiTheme="minorEastAsia" w:hAnsiTheme="minorEastAsia" w:eastAsiaTheme="minorEastAsia"/>
                <w:sz w:val="21"/>
              </w:rPr>
            </w:pPr>
          </w:p>
          <w:p>
            <w:pPr>
              <w:pStyle w:val="0"/>
              <w:ind w:firstLine="210" w:firstLineChars="100"/>
              <w:rPr>
                <w:rFonts w:hint="eastAsia" w:asciiTheme="minorEastAsia" w:hAnsiTheme="minorEastAsia" w:eastAsiaTheme="minorEastAsia"/>
                <w:sz w:val="21"/>
              </w:rPr>
            </w:pPr>
            <w:bookmarkStart w:id="0" w:name="_GoBack"/>
            <w:bookmarkEnd w:id="0"/>
          </w:p>
          <w:p>
            <w:pPr>
              <w:pStyle w:val="0"/>
              <w:ind w:firstLine="210" w:firstLineChars="100"/>
              <w:rPr>
                <w:rFonts w:hint="eastAsia" w:asciiTheme="minorEastAsia" w:hAnsiTheme="minorEastAsia" w:eastAsiaTheme="minorEastAsia"/>
                <w:sz w:val="21"/>
              </w:rPr>
            </w:pPr>
          </w:p>
          <w:p>
            <w:pPr>
              <w:pStyle w:val="0"/>
              <w:ind w:firstLine="210" w:firstLineChars="100"/>
              <w:rPr>
                <w:rFonts w:hint="eastAsia" w:asciiTheme="minorEastAsia" w:hAnsiTheme="minorEastAsia" w:eastAsiaTheme="minorEastAsia"/>
                <w:sz w:val="21"/>
              </w:rPr>
            </w:pPr>
          </w:p>
          <w:p>
            <w:pPr>
              <w:pStyle w:val="0"/>
              <w:rPr>
                <w:rFonts w:hint="eastAsia" w:asciiTheme="minorEastAsia" w:hAnsiTheme="minorEastAsia" w:eastAsiaTheme="minorEastAsia"/>
                <w:sz w:val="21"/>
              </w:rPr>
            </w:pPr>
            <w:r>
              <w:rPr>
                <w:rFonts w:hint="eastAsia" w:asciiTheme="minorEastAsia" w:hAnsiTheme="minorEastAsia" w:eastAsiaTheme="minorEastAsia"/>
                <w:sz w:val="21"/>
              </w:rPr>
              <w:t>②少子化によって、文化系とくに吹奏楽が壊滅的な状況になっています。</w:t>
            </w:r>
          </w:p>
          <w:p>
            <w:pPr>
              <w:pStyle w:val="0"/>
              <w:ind w:firstLine="210" w:firstLineChars="100"/>
              <w:rPr>
                <w:rFonts w:hint="eastAsia" w:asciiTheme="minorEastAsia" w:hAnsiTheme="minorEastAsia" w:eastAsiaTheme="minorEastAsia"/>
                <w:sz w:val="21"/>
              </w:rPr>
            </w:pPr>
            <w:r>
              <w:rPr>
                <w:rFonts w:hint="eastAsia" w:asciiTheme="minorEastAsia" w:hAnsiTheme="minorEastAsia" w:eastAsiaTheme="minorEastAsia"/>
                <w:sz w:val="21"/>
              </w:rPr>
              <w:t>一方で、</w:t>
            </w:r>
            <w:r>
              <w:rPr>
                <w:rFonts w:hint="eastAsia" w:asciiTheme="minorEastAsia" w:hAnsiTheme="minorEastAsia" w:eastAsiaTheme="minorEastAsia"/>
                <w:sz w:val="21"/>
              </w:rPr>
              <w:t>DTM</w:t>
            </w:r>
            <w:r>
              <w:rPr>
                <w:rFonts w:hint="eastAsia" w:asciiTheme="minorEastAsia" w:hAnsiTheme="minorEastAsia" w:eastAsiaTheme="minorEastAsia"/>
                <w:sz w:val="21"/>
              </w:rPr>
              <w:t>といった方法や</w:t>
            </w:r>
            <w:r>
              <w:rPr>
                <w:rFonts w:hint="eastAsia" w:asciiTheme="minorEastAsia" w:hAnsiTheme="minorEastAsia" w:eastAsiaTheme="minorEastAsia"/>
                <w:sz w:val="21"/>
              </w:rPr>
              <w:t>SNS</w:t>
            </w:r>
            <w:r>
              <w:rPr>
                <w:rFonts w:hint="eastAsia" w:asciiTheme="minorEastAsia" w:hAnsiTheme="minorEastAsia" w:eastAsiaTheme="minorEastAsia"/>
                <w:sz w:val="21"/>
              </w:rPr>
              <w:t>・動画サイトを活用し、作曲制作した作品を世界に発信するという事も可能である。</w:t>
            </w:r>
          </w:p>
          <w:p>
            <w:pPr>
              <w:pStyle w:val="0"/>
              <w:ind w:firstLine="210" w:firstLineChars="100"/>
              <w:rPr>
                <w:rFonts w:hint="eastAsia" w:asciiTheme="minorEastAsia" w:hAnsiTheme="minorEastAsia" w:eastAsiaTheme="minorEastAsia"/>
                <w:sz w:val="21"/>
              </w:rPr>
            </w:pPr>
            <w:r>
              <w:rPr>
                <w:rFonts w:hint="eastAsia" w:asciiTheme="minorEastAsia" w:hAnsiTheme="minorEastAsia" w:eastAsiaTheme="minorEastAsia"/>
                <w:sz w:val="21"/>
              </w:rPr>
              <w:t>学校の統廃合で合理的な学校運営が必要ではないか。</w:t>
            </w:r>
          </w:p>
        </w:tc>
        <w:tc>
          <w:tcPr>
            <w:tcW w:w="568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①本市では、国の</w:t>
            </w:r>
            <w:r>
              <w:rPr>
                <w:rFonts w:hint="eastAsia" w:asciiTheme="minorEastAsia" w:hAnsiTheme="minorEastAsia" w:eastAsiaTheme="minorEastAsia"/>
                <w:sz w:val="21"/>
              </w:rPr>
              <w:t>GIGA</w:t>
            </w:r>
            <w:r>
              <w:rPr>
                <w:rFonts w:hint="eastAsia" w:asciiTheme="minorEastAsia" w:hAnsiTheme="minorEastAsia" w:eastAsiaTheme="minorEastAsia"/>
                <w:sz w:val="21"/>
              </w:rPr>
              <w:t>スクール構想に基づき、令和２年度に児童生徒１人１台端末を導入しましたが、国の補助金及び交付金を活用したため、保護者の費用負担はありませんでした。</w:t>
            </w:r>
          </w:p>
          <w:p>
            <w:pPr>
              <w:pStyle w:val="0"/>
              <w:ind w:firstLine="210" w:firstLineChars="100"/>
              <w:rPr>
                <w:rFonts w:hint="eastAsia" w:asciiTheme="minorEastAsia" w:hAnsiTheme="minorEastAsia" w:eastAsiaTheme="minorEastAsia"/>
                <w:sz w:val="21"/>
              </w:rPr>
            </w:pPr>
            <w:r>
              <w:rPr>
                <w:rFonts w:hint="eastAsia" w:asciiTheme="minorEastAsia" w:hAnsiTheme="minorEastAsia" w:eastAsiaTheme="minorEastAsia"/>
                <w:sz w:val="21"/>
              </w:rPr>
              <w:t>また、端末は市の規定に基づき競争入札により購入しております。</w:t>
            </w:r>
          </w:p>
          <w:p>
            <w:pPr>
              <w:pStyle w:val="0"/>
              <w:rPr>
                <w:rFonts w:hint="eastAsia" w:asciiTheme="minorEastAsia" w:hAnsiTheme="minorEastAsia" w:eastAsiaTheme="minorEastAsia"/>
                <w:sz w:val="21"/>
              </w:rPr>
            </w:pPr>
            <w:r>
              <w:rPr>
                <w:rFonts w:hint="eastAsia" w:asciiTheme="minorEastAsia" w:hAnsiTheme="minorEastAsia" w:eastAsiaTheme="minorEastAsia"/>
                <w:sz w:val="21"/>
              </w:rPr>
              <w:t>　端末について国は１人１台端末の基本モデル例を３種類示しており本市では、クロームブックを導入しました。</w:t>
            </w:r>
          </w:p>
          <w:p>
            <w:pPr>
              <w:pStyle w:val="0"/>
              <w:ind w:firstLine="210" w:firstLineChars="100"/>
              <w:rPr>
                <w:rFonts w:hint="eastAsia" w:asciiTheme="minorEastAsia" w:hAnsiTheme="minorEastAsia" w:eastAsiaTheme="minorEastAsia"/>
                <w:sz w:val="21"/>
              </w:rPr>
            </w:pPr>
            <w:r>
              <w:rPr>
                <w:rFonts w:hint="eastAsia" w:asciiTheme="minorEastAsia" w:hAnsiTheme="minorEastAsia" w:eastAsiaTheme="minorEastAsia"/>
                <w:sz w:val="21"/>
              </w:rPr>
              <w:t>クロームブックは、起動が早く、データーはクラウド上に保存されるため、端末が故障した場合においてもデーターの復旧が容易であり、共同電算を実施している西胆振３市１町において、同じ端末を導入した場合、教職員が他自治体に異動した際におきましても、スムーズに端末を使用できることから、３市１町においてクロームブックを導入しております。</w:t>
            </w:r>
          </w:p>
          <w:p>
            <w:pPr>
              <w:pStyle w:val="0"/>
              <w:rPr>
                <w:rFonts w:hint="eastAsia" w:asciiTheme="minorEastAsia" w:hAnsiTheme="minorEastAsia" w:eastAsiaTheme="minorEastAsia"/>
                <w:sz w:val="21"/>
              </w:rPr>
            </w:pPr>
            <w:r>
              <w:rPr>
                <w:rFonts w:hint="eastAsia" w:asciiTheme="minorEastAsia" w:hAnsiTheme="minorEastAsia" w:eastAsiaTheme="minorEastAsia"/>
                <w:sz w:val="21"/>
              </w:rPr>
              <w:t>　教育活動において</w:t>
            </w:r>
            <w:r>
              <w:rPr>
                <w:rFonts w:hint="eastAsia" w:asciiTheme="minorEastAsia" w:hAnsiTheme="minorEastAsia" w:eastAsiaTheme="minorEastAsia"/>
                <w:sz w:val="21"/>
              </w:rPr>
              <w:t>ICT</w:t>
            </w:r>
            <w:r>
              <w:rPr>
                <w:rFonts w:hint="eastAsia" w:asciiTheme="minorEastAsia" w:hAnsiTheme="minorEastAsia" w:eastAsiaTheme="minorEastAsia"/>
                <w:sz w:val="21"/>
              </w:rPr>
              <w:t>機器を活用することにより、学習活動の一層の充実や、主体的、対話的で深い学びの視点からの授業改善が期待されますが、教員の活用スキルや児童生徒の習熟度により、実施できる取組や効果は異なりますので、パソコン端末が身近な学習ツールとなるよう、使い方の指導や学習で効果的に使える場面を設定して、積極的に試行することからスタートし、パソコン端末の操作と活用の習熟を図るなど段階的にＩＣＴ機器を活用した教育を進めているところです。</w:t>
            </w:r>
          </w:p>
          <w:p>
            <w:pPr>
              <w:pStyle w:val="0"/>
              <w:rPr>
                <w:rFonts w:hint="eastAsia" w:asciiTheme="minorEastAsia" w:hAnsiTheme="minorEastAsia" w:eastAsiaTheme="minorEastAsia"/>
                <w:sz w:val="21"/>
              </w:rPr>
            </w:pPr>
          </w:p>
          <w:p>
            <w:pPr>
              <w:pStyle w:val="0"/>
              <w:rPr>
                <w:rFonts w:hint="eastAsia" w:asciiTheme="minorEastAsia" w:hAnsiTheme="minorEastAsia" w:eastAsiaTheme="minorEastAsia"/>
                <w:sz w:val="21"/>
              </w:rPr>
            </w:pPr>
            <w:r>
              <w:rPr>
                <w:rFonts w:hint="eastAsia" w:asciiTheme="minorEastAsia" w:hAnsiTheme="minorEastAsia" w:eastAsiaTheme="minorEastAsia"/>
                <w:sz w:val="21"/>
              </w:rPr>
              <w:t>②児童生徒数の減少により、文化系だけではなく、全ての部活動においてさまざまな課題が生じているものと認識しています。</w:t>
            </w:r>
          </w:p>
          <w:p>
            <w:pPr>
              <w:pStyle w:val="0"/>
              <w:ind w:firstLine="210" w:firstLineChars="100"/>
              <w:rPr>
                <w:rFonts w:hint="eastAsia" w:asciiTheme="minorEastAsia" w:hAnsiTheme="minorEastAsia" w:eastAsiaTheme="minorEastAsia"/>
                <w:sz w:val="21"/>
              </w:rPr>
            </w:pPr>
            <w:r>
              <w:rPr>
                <w:rFonts w:hint="eastAsia" w:asciiTheme="minorEastAsia" w:hAnsiTheme="minorEastAsia" w:eastAsiaTheme="minorEastAsia"/>
                <w:sz w:val="21"/>
              </w:rPr>
              <w:t>登別市教育委員会では、引き続き、小中学校の適正配置にかかる取り組みを推進するとともに、国が進める「学校の働き方改革を踏まえた部活動改革」に沿った地域部活動への移行など、持続可能な部活動の構築を目指してまいります。</w:t>
            </w:r>
          </w:p>
        </w:tc>
      </w:tr>
    </w:tbl>
    <w:p>
      <w:pPr>
        <w:pStyle w:val="0"/>
        <w:rPr>
          <w:rFonts w:hint="eastAsia" w:asciiTheme="minorEastAsia" w:hAnsiTheme="minorEastAsia" w:eastAsiaTheme="minorEastAsia"/>
        </w:rPr>
      </w:pPr>
      <w:r>
        <w:rPr>
          <w:rFonts w:hint="eastAsia" w:asciiTheme="minorEastAsia" w:hAnsiTheme="minorEastAsia" w:eastAsiaTheme="minorEastAsia"/>
        </w:rPr>
        <w:t>※提出のあった意見のうち、１項目は他事記載であったため、公表の対象としていません。</w:t>
      </w:r>
    </w:p>
    <w:sectPr>
      <w:pgSz w:w="11906" w:h="16838"/>
      <w:pgMar w:top="850" w:right="1417" w:bottom="510"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doNotDisplayPageBoundaries/>
  <w:displayBackgroundShape/>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529</TotalTime>
  <Pages>1</Pages>
  <Words>6</Words>
  <Characters>1273</Characters>
  <Application>JUST Note</Application>
  <Lines>81</Lines>
  <Paragraphs>31</Paragraphs>
  <CharactersWithSpaces>1275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相馬 淑香</cp:lastModifiedBy>
  <cp:lastPrinted>2021-07-26T09:04:49Z</cp:lastPrinted>
  <dcterms:modified xsi:type="dcterms:W3CDTF">2021-07-26T03:34:06Z</dcterms:modified>
  <cp:revision>13</cp:revision>
</cp:coreProperties>
</file>