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20" w:hRule="atLeast"/>
        </w:trPr>
        <w:tc>
          <w:tcPr>
            <w:tcW w:w="9918"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0"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0"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登別市長　殿</w:t>
            </w:r>
          </w:p>
          <w:p>
            <w:pPr>
              <w:pStyle w:val="0"/>
              <w:suppressAutoHyphens w:val="1"/>
              <w:kinsoku w:val="0"/>
              <w:overflowPunct w:val="0"/>
              <w:autoSpaceDE w:val="0"/>
              <w:autoSpaceDN w:val="0"/>
              <w:adjustRightInd w:val="0"/>
              <w:ind w:left="850" w:leftChars="405"/>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850" w:leftChars="405"/>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ind w:left="850" w:leftChars="405"/>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850" w:leftChars="405"/>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850" w:leftChars="405"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240" w:lineRule="exact"/>
              <w:ind w:right="1"/>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私は、表に記載する業を営んでいるが、下記のとおり</w:t>
            </w:r>
            <w:bookmarkStart w:id="0" w:name="_GoBack"/>
            <w:bookmarkEnd w:id="0"/>
            <w:r>
              <w:rPr>
                <w:rFonts w:hint="eastAsia" w:ascii="ＭＳ ゴシック" w:hAnsi="ＭＳ ゴシック" w:eastAsia="ＭＳ ゴシック"/>
                <w:color w:val="000000"/>
                <w:kern w:val="0"/>
                <w:sz w:val="20"/>
              </w:rPr>
              <w:t>、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sz w:val="18"/>
              </w:rPr>
            </w:pPr>
            <w:r>
              <w:rPr>
                <w:rFonts w:hint="eastAsia"/>
                <w:sz w:val="18"/>
              </w:rPr>
              <w:t>（表</w:t>
            </w:r>
            <w:r>
              <w:rPr>
                <w:rFonts w:hint="eastAsia"/>
                <w:sz w:val="18"/>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20"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w:t>
            </w:r>
            <w:r>
              <w:rPr>
                <w:rFonts w:hint="eastAsia" w:ascii="ＭＳ ゴシック" w:hAnsi="ＭＳ ゴシック" w:eastAsia="ＭＳ ゴシック"/>
                <w:color w:val="000000"/>
                <w:spacing w:val="16"/>
                <w:kern w:val="0"/>
                <w:sz w:val="1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　　　円</w:t>
            </w:r>
          </w:p>
          <w:p>
            <w:pPr>
              <w:pStyle w:val="0"/>
              <w:suppressAutoHyphens w:val="1"/>
              <w:kinsoku w:val="0"/>
              <w:overflowPunct w:val="0"/>
              <w:autoSpaceDE w:val="0"/>
              <w:autoSpaceDN w:val="0"/>
              <w:adjustRightInd w:val="0"/>
              <w:spacing w:line="240" w:lineRule="exact"/>
              <w:ind w:left="63" w:leftChars="30"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ind w:left="182"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最近１か月間における全体の売上原価に占める指定業種の売上原価の割合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指定業種に係る売上原価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指定業種に係る転嫁の状況　Ｐ＝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指定業種に係る仕入額</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ａ：Ａの期間に対応する前年３か月間の原油等の仕入額　</w:t>
            </w:r>
            <w:r>
              <w:rPr>
                <w:rFonts w:hint="eastAsia" w:ascii="ＭＳ ゴシック" w:hAnsi="ＭＳ ゴシック" w:eastAsia="ＭＳ ゴシック"/>
                <w:color w:val="000000"/>
                <w:kern w:val="0"/>
                <w:u w:val="single" w:color="auto"/>
              </w:rPr>
              <w:t>指定業種に係る仕入額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指定業種に係る売上高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00" w:lineRule="exact"/>
        <w:ind w:left="560" w:hanging="560" w:hangingChars="400"/>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（注１）本様式は、指定業種と非指定業種を兼業している場合であって、指定業種及び申請者全体の双方が認定基準を満たす場合に使用する。</w:t>
      </w:r>
    </w:p>
    <w:p>
      <w:pPr>
        <w:pStyle w:val="0"/>
        <w:suppressAutoHyphens w:val="1"/>
        <w:spacing w:line="200" w:lineRule="exact"/>
        <w:ind w:left="560" w:hanging="560" w:hangingChars="400"/>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（注２）上昇率、依存率及び最近１か月間における全体の売上原価に占める指定業種の売上原価の割合が２０％以上となっていること。</w:t>
      </w:r>
    </w:p>
    <w:p>
      <w:pPr>
        <w:pStyle w:val="0"/>
        <w:suppressAutoHyphens w:val="1"/>
        <w:spacing w:line="200" w:lineRule="exact"/>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（注３）Ｐ＞０となっていること。</w:t>
      </w:r>
    </w:p>
    <w:p>
      <w:pPr>
        <w:pStyle w:val="0"/>
        <w:suppressAutoHyphens w:val="1"/>
        <w:spacing w:line="200" w:lineRule="exact"/>
        <w:ind w:left="1230" w:hanging="123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（留意事項）</w:t>
      </w:r>
    </w:p>
    <w:p>
      <w:pPr>
        <w:pStyle w:val="24"/>
        <w:numPr>
          <w:ilvl w:val="0"/>
          <w:numId w:val="2"/>
        </w:numPr>
        <w:suppressAutoHyphens w:val="1"/>
        <w:spacing w:line="200" w:lineRule="exact"/>
        <w:ind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本認定とは別に、金融機関及び信用保証協会による金融上の審査があります。</w:t>
      </w:r>
    </w:p>
    <w:p>
      <w:pPr>
        <w:pStyle w:val="24"/>
        <w:numPr>
          <w:ilvl w:val="0"/>
          <w:numId w:val="2"/>
        </w:numPr>
        <w:suppressAutoHyphens w:val="1"/>
        <w:spacing w:line="200" w:lineRule="exact"/>
        <w:ind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sz w:val="14"/>
        </w:rPr>
        <w:t>市町村長又は特別区長から認定を受けた日から３０日以内に金融機関又は信用保証協会に対して、保証の申込みを行うことが必要です。</w:t>
      </w:r>
    </w:p>
    <w:p>
      <w:pPr>
        <w:pStyle w:val="0"/>
        <w:numPr>
          <w:numId w:val="0"/>
        </w:numPr>
        <w:suppressAutoHyphens w:val="1"/>
        <w:spacing w:line="200" w:lineRule="exact"/>
        <w:ind w:left="0" w:leftChars="0" w:firstLineChars="0"/>
        <w:jc w:val="left"/>
        <w:textAlignment w:val="baseline"/>
        <w:rPr>
          <w:rFonts w:hint="default" w:ascii="ＭＳ ゴシック" w:hAnsi="ＭＳ ゴシック" w:eastAsia="ＭＳ ゴシック"/>
          <w:color w:val="000000"/>
          <w:spacing w:val="16"/>
          <w:kern w:val="0"/>
          <w:sz w:val="1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10160</wp:posOffset>
                </wp:positionH>
                <wp:positionV relativeFrom="paragraph">
                  <wp:posOffset>76200</wp:posOffset>
                </wp:positionV>
                <wp:extent cx="6286500" cy="0"/>
                <wp:effectExtent l="0" t="635" r="2730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28650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6" o:allowincell="t" o:allowoverlap="t" filled="f" stroked="t" strokecolor="#000000" strokeweight="0.75pt" o:spt="20" from="0.8pt,6pt" to="495.8pt,6pt">
                <v:fill/>
                <v:stroke linestyle="single" endcap="flat" dashstyle="longdashdot" filltype="solid"/>
                <v:textbox style="layout-flow:horizontal;"/>
                <v:imagedata o:title=""/>
                <w10:wrap type="none" anchorx="margin" anchory="text"/>
              </v:line>
            </w:pict>
          </mc:Fallback>
        </mc:AlternateContent>
      </w:r>
    </w:p>
    <w:p>
      <w:pPr>
        <w:pStyle w:val="0"/>
        <w:spacing w:line="280" w:lineRule="exact"/>
        <w:jc w:val="left"/>
        <w:rPr>
          <w:rFonts w:hint="eastAsia" w:ascii="ＭＳ 明朝" w:hAnsi="ＭＳ 明朝" w:eastAsia="ＭＳ 明朝"/>
          <w:sz w:val="22"/>
        </w:rPr>
      </w:pPr>
      <w:r>
        <w:rPr>
          <w:rFonts w:hint="eastAsia" w:ascii="ＭＳ 明朝" w:hAnsi="ＭＳ 明朝" w:eastAsia="ＭＳ 明朝"/>
          <w:sz w:val="22"/>
        </w:rPr>
        <w:t>登　商　第　　　　号</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令和　　年　　　月　　　日</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申請のとおり、相違ないことを認定します。</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本認定書の有効期限：令和　　年　　　月　　日から令和　　年　　月　　日まで</w:t>
      </w:r>
    </w:p>
    <w:p>
      <w:pPr>
        <w:pStyle w:val="0"/>
        <w:spacing w:before="0" w:beforeLines="0" w:beforeAutospacing="0" w:after="0" w:afterLines="0" w:afterAutospacing="0" w:line="140" w:lineRule="exact"/>
        <w:jc w:val="center"/>
        <w:rPr>
          <w:rFonts w:hint="eastAsia" w:ascii="ＭＳ 明朝" w:hAnsi="ＭＳ 明朝" w:eastAsia="ＭＳ 明朝"/>
          <w:sz w:val="20"/>
        </w:rPr>
      </w:pP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sz w:val="14"/>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登別市長　　小笠原　春一</w:t>
      </w:r>
    </w:p>
    <w:sectPr>
      <w:headerReference r:id="rId7" w:type="even"/>
      <w:headerReference r:id="rId8" w:type="default"/>
      <w:footerReference r:id="rId10" w:type="even"/>
      <w:footerReference r:id="rId11" w:type="default"/>
      <w:headerReference r:id="rId6" w:type="first"/>
      <w:footerReference r:id="rId9" w:type="first"/>
      <w:pgSz w:w="11906" w:h="16838"/>
      <w:pgMar w:top="426" w:right="1134" w:bottom="426" w:left="1134" w:header="283"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3</Words>
  <Characters>1138</Characters>
  <Application>JUST Note</Application>
  <Lines>72</Lines>
  <Paragraphs>51</Paragraphs>
  <Company>METI</Company>
  <CharactersWithSpaces>2135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桑原 ゆきの</cp:lastModifiedBy>
  <cp:lastPrinted>2024-09-30T11:50:00Z</cp:lastPrinted>
  <dcterms:created xsi:type="dcterms:W3CDTF">2024-09-30T11:54:00Z</dcterms:created>
  <dcterms:modified xsi:type="dcterms:W3CDTF">2025-02-12T07:29:42Z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