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0"/>
          <w:color w:val="auto"/>
          <w:sz w:val="24"/>
          <w:highlight w:val="none"/>
          <w:u w:val="none" w:color="auto"/>
        </w:rPr>
      </w:pPr>
      <w:r>
        <w:rPr>
          <w:rFonts w:hint="eastAsia"/>
          <w:b w:val="0"/>
          <w:color w:val="auto"/>
          <w:sz w:val="24"/>
          <w:highlight w:val="none"/>
          <w:u w:val="none" w:color="auto"/>
        </w:rPr>
        <w:t>別記様式第１４号（第１３条関係）</w:t>
      </w:r>
    </w:p>
    <w:p>
      <w:pPr>
        <w:pStyle w:val="0"/>
        <w:spacing w:line="360" w:lineRule="exact"/>
        <w:jc w:val="center"/>
        <w:rPr>
          <w:rFonts w:hint="default" w:asciiTheme="minorEastAsia" w:hAnsiTheme="minorEastAsia"/>
          <w:b w:val="0"/>
          <w:color w:val="auto"/>
          <w:spacing w:val="2"/>
          <w:sz w:val="24"/>
          <w:highlight w:val="none"/>
          <w:u w:val="none" w:color="auto"/>
        </w:rPr>
      </w:pPr>
      <w:r>
        <w:rPr>
          <w:rFonts w:hint="eastAsia" w:asciiTheme="minorEastAsia" w:hAnsiTheme="minorEastAsia"/>
          <w:b w:val="0"/>
          <w:color w:val="auto"/>
          <w:spacing w:val="2"/>
          <w:sz w:val="24"/>
          <w:highlight w:val="none"/>
          <w:u w:val="none" w:color="auto"/>
        </w:rPr>
        <w:t>誓　約　書</w:t>
      </w:r>
    </w:p>
    <w:p>
      <w:pPr>
        <w:pStyle w:val="0"/>
        <w:spacing w:line="360" w:lineRule="exact"/>
        <w:jc w:val="center"/>
        <w:rPr>
          <w:rFonts w:hint="default" w:asciiTheme="minorEastAsia" w:hAnsiTheme="minorEastAsia"/>
          <w:b w:val="0"/>
          <w:color w:val="auto"/>
          <w:spacing w:val="2"/>
          <w:sz w:val="24"/>
          <w:highlight w:val="none"/>
          <w:u w:val="none" w:color="auto"/>
        </w:rPr>
      </w:pPr>
    </w:p>
    <w:p>
      <w:pPr>
        <w:pStyle w:val="0"/>
        <w:spacing w:line="360" w:lineRule="exact"/>
        <w:rPr>
          <w:rFonts w:hint="default" w:asciiTheme="minorEastAsia" w:hAnsiTheme="minorEastAsia"/>
          <w:b w:val="0"/>
          <w:color w:val="auto"/>
          <w:spacing w:val="2"/>
          <w:sz w:val="24"/>
          <w:highlight w:val="none"/>
          <w:u w:val="none" w:color="auto"/>
        </w:rPr>
      </w:pPr>
      <w:r>
        <w:rPr>
          <w:rFonts w:hint="eastAsia" w:asciiTheme="minorEastAsia" w:hAnsiTheme="minorEastAsia"/>
          <w:b w:val="0"/>
          <w:color w:val="auto"/>
          <w:spacing w:val="2"/>
          <w:sz w:val="24"/>
          <w:highlight w:val="none"/>
          <w:u w:val="none" w:color="auto"/>
        </w:rPr>
        <w:t>　私は、</w:t>
      </w:r>
      <w:r>
        <w:rPr>
          <w:rFonts w:hint="eastAsia"/>
          <w:b w:val="0"/>
          <w:color w:val="auto"/>
          <w:sz w:val="24"/>
          <w:highlight w:val="none"/>
          <w:u w:val="none" w:color="auto"/>
        </w:rPr>
        <w:t>登別市空家等対策事業補助金を受領するにあたり、下記の該当箇所について誓約します。なお、登別市空家等対策事業補助金交付要綱第１０条第１項各号に掲げる規定に該当したときは、すでに交付を受けた補助金を返還します。</w:t>
      </w:r>
    </w:p>
    <w:p>
      <w:pPr>
        <w:pStyle w:val="0"/>
        <w:spacing w:line="360" w:lineRule="exact"/>
        <w:jc w:val="center"/>
        <w:rPr>
          <w:rFonts w:hint="default" w:asciiTheme="minorEastAsia" w:hAnsiTheme="minorEastAsia"/>
          <w:b w:val="0"/>
          <w:color w:val="auto"/>
          <w:spacing w:val="2"/>
          <w:sz w:val="24"/>
          <w:highlight w:val="none"/>
          <w:u w:val="none" w:color="auto"/>
        </w:rPr>
      </w:pPr>
      <w:r>
        <w:rPr>
          <w:rFonts w:hint="eastAsia"/>
          <w:b w:val="0"/>
          <w:color w:val="auto"/>
          <w:sz w:val="24"/>
          <w:highlight w:val="none"/>
          <w:u w:val="none" w:color="auto"/>
        </w:rPr>
        <w:t>記</w:t>
      </w:r>
    </w:p>
    <w:tbl>
      <w:tblPr>
        <w:tblStyle w:val="34"/>
        <w:tblW w:w="0" w:type="auto"/>
        <w:tblInd w:w="0" w:type="dxa"/>
        <w:tblLayout w:type="fixed"/>
        <w:tblLook w:firstRow="1" w:lastRow="0" w:firstColumn="1" w:lastColumn="0" w:noHBand="0" w:noVBand="1" w:val="04A0"/>
      </w:tblPr>
      <w:tblGrid>
        <w:gridCol w:w="3509"/>
        <w:gridCol w:w="5845"/>
      </w:tblGrid>
      <w:tr>
        <w:trPr/>
        <w:tc>
          <w:tcPr>
            <w:tcW w:w="3509" w:type="dxa"/>
            <w:vAlign w:val="top"/>
          </w:tcPr>
          <w:p>
            <w:pPr>
              <w:pStyle w:val="0"/>
              <w:rPr>
                <w:rFonts w:hint="eastAsia"/>
                <w:color w:val="auto"/>
                <w:sz w:val="21"/>
                <w:highlight w:val="none"/>
              </w:rPr>
            </w:pPr>
            <w:r>
              <w:rPr>
                <w:rFonts w:hint="eastAsia"/>
                <w:color w:val="auto"/>
                <w:sz w:val="21"/>
                <w:highlight w:val="none"/>
              </w:rPr>
              <w:t>□　空家等の</w:t>
            </w:r>
          </w:p>
          <w:p>
            <w:pPr>
              <w:pStyle w:val="0"/>
              <w:ind w:firstLine="504" w:firstLineChars="200"/>
              <w:rPr>
                <w:rFonts w:hint="eastAsia"/>
              </w:rPr>
            </w:pPr>
            <w:r>
              <w:rPr>
                <w:rFonts w:hint="eastAsia"/>
                <w:color w:val="auto"/>
                <w:sz w:val="21"/>
                <w:highlight w:val="none"/>
              </w:rPr>
              <w:t>リフォーム工事</w:t>
            </w:r>
          </w:p>
        </w:tc>
        <w:tc>
          <w:tcPr>
            <w:tcW w:w="5845" w:type="dxa"/>
            <w:vAlign w:val="top"/>
          </w:tcPr>
          <w:p>
            <w:pPr>
              <w:pStyle w:val="0"/>
              <w:ind w:left="252" w:hanging="252" w:hangingChars="100"/>
              <w:rPr>
                <w:rFonts w:hint="eastAsia"/>
                <w:color w:val="auto"/>
                <w:sz w:val="21"/>
                <w:highlight w:val="none"/>
              </w:rPr>
            </w:pPr>
            <w:r>
              <w:rPr>
                <w:rFonts w:hint="eastAsia" w:asciiTheme="minorEastAsia" w:hAnsiTheme="minorEastAsia"/>
                <w:b w:val="0"/>
                <w:color w:val="auto"/>
                <w:sz w:val="21"/>
                <w:highlight w:val="none"/>
                <w:u w:val="none" w:color="auto"/>
              </w:rPr>
              <w:t>・補助を受けてリフォームした空家に５年間は居住すること</w:t>
            </w:r>
          </w:p>
          <w:p>
            <w:pPr>
              <w:pStyle w:val="0"/>
              <w:ind w:left="252" w:hanging="252" w:hangingChars="100"/>
              <w:jc w:val="both"/>
              <w:rPr>
                <w:rFonts w:hint="eastAsia"/>
              </w:rPr>
            </w:pPr>
            <w:r>
              <w:rPr>
                <w:rFonts w:hint="eastAsia" w:asciiTheme="minorEastAsia" w:hAnsiTheme="minorEastAsia"/>
                <w:b w:val="0"/>
                <w:color w:val="auto"/>
                <w:sz w:val="21"/>
                <w:highlight w:val="none"/>
                <w:u w:val="none" w:color="auto"/>
              </w:rPr>
              <w:t>・補助を受けてリフォームした空家を５年間は売却しないこと</w:t>
            </w:r>
          </w:p>
        </w:tc>
      </w:tr>
      <w:tr>
        <w:trPr/>
        <w:tc>
          <w:tcPr>
            <w:tcW w:w="3509" w:type="dxa"/>
            <w:vAlign w:val="top"/>
          </w:tcPr>
          <w:p>
            <w:pPr>
              <w:pStyle w:val="0"/>
              <w:rPr>
                <w:rFonts w:hint="eastAsia"/>
                <w:color w:val="auto"/>
                <w:sz w:val="21"/>
                <w:highlight w:val="none"/>
              </w:rPr>
            </w:pPr>
            <w:r>
              <w:rPr>
                <w:rFonts w:hint="eastAsia"/>
                <w:color w:val="auto"/>
                <w:sz w:val="21"/>
                <w:highlight w:val="none"/>
              </w:rPr>
              <w:t>□　宅地建物取引業者以外</w:t>
            </w:r>
          </w:p>
          <w:p>
            <w:pPr>
              <w:pStyle w:val="0"/>
              <w:ind w:firstLine="504" w:firstLineChars="200"/>
              <w:rPr>
                <w:rFonts w:hint="eastAsia"/>
              </w:rPr>
            </w:pPr>
            <w:r>
              <w:rPr>
                <w:rFonts w:hint="eastAsia"/>
                <w:color w:val="auto"/>
                <w:sz w:val="21"/>
                <w:highlight w:val="none"/>
              </w:rPr>
              <w:t>の空家等の除却工事</w:t>
            </w:r>
          </w:p>
        </w:tc>
        <w:tc>
          <w:tcPr>
            <w:tcW w:w="5845" w:type="dxa"/>
            <w:vAlign w:val="top"/>
          </w:tcPr>
          <w:p>
            <w:pPr>
              <w:pStyle w:val="0"/>
              <w:ind w:left="252" w:hanging="252" w:hangingChars="100"/>
              <w:rPr>
                <w:rFonts w:hint="eastAsia"/>
                <w:color w:val="auto"/>
                <w:highlight w:val="none"/>
              </w:rPr>
            </w:pPr>
            <w:r>
              <w:rPr>
                <w:rFonts w:hint="eastAsia" w:asciiTheme="minorEastAsia" w:hAnsiTheme="minorEastAsia"/>
                <w:b w:val="0"/>
                <w:color w:val="auto"/>
                <w:sz w:val="21"/>
                <w:highlight w:val="none"/>
                <w:u w:val="none" w:color="auto"/>
              </w:rPr>
              <w:t>・空家等の除却後５年間は土地の売却をしないこと</w:t>
            </w:r>
          </w:p>
          <w:p>
            <w:pPr>
              <w:pStyle w:val="0"/>
              <w:ind w:left="252" w:hanging="252" w:hangingChars="100"/>
              <w:rPr>
                <w:rFonts w:hint="eastAsia"/>
                <w:color w:val="auto"/>
                <w:highlight w:val="none"/>
              </w:rPr>
            </w:pPr>
            <w:r>
              <w:rPr>
                <w:rFonts w:hint="eastAsia" w:asciiTheme="minorEastAsia" w:hAnsiTheme="minorEastAsia"/>
                <w:b w:val="0"/>
                <w:color w:val="auto"/>
                <w:sz w:val="21"/>
                <w:highlight w:val="none"/>
                <w:u w:val="none" w:color="auto"/>
              </w:rPr>
              <w:t>・除却後新築工事による補助金の加算を受けた場合は、新築した住宅に５年間は居住すること</w:t>
            </w:r>
          </w:p>
          <w:p>
            <w:pPr>
              <w:pStyle w:val="0"/>
              <w:ind w:left="252" w:hanging="252" w:hangingChars="100"/>
              <w:rPr>
                <w:rFonts w:hint="eastAsia"/>
              </w:rPr>
            </w:pPr>
            <w:r>
              <w:rPr>
                <w:rFonts w:hint="eastAsia"/>
                <w:color w:val="auto"/>
                <w:sz w:val="21"/>
                <w:highlight w:val="none"/>
              </w:rPr>
              <w:t>・居住誘導区域に指定された区域外においては、除却後に居住を目的とした跡地利用をしないこと</w:t>
            </w:r>
          </w:p>
        </w:tc>
      </w:tr>
      <w:tr>
        <w:trPr/>
        <w:tc>
          <w:tcPr>
            <w:tcW w:w="3509" w:type="dxa"/>
            <w:vAlign w:val="top"/>
          </w:tcPr>
          <w:p>
            <w:pPr>
              <w:pStyle w:val="0"/>
              <w:rPr>
                <w:rFonts w:hint="eastAsia"/>
                <w:color w:val="auto"/>
                <w:sz w:val="21"/>
                <w:highlight w:val="none"/>
              </w:rPr>
            </w:pPr>
            <w:r>
              <w:rPr>
                <w:rFonts w:hint="eastAsia"/>
                <w:color w:val="auto"/>
                <w:sz w:val="21"/>
                <w:highlight w:val="none"/>
              </w:rPr>
              <w:t>□　宅地建物取引業者による</w:t>
            </w:r>
          </w:p>
          <w:p>
            <w:pPr>
              <w:pStyle w:val="0"/>
              <w:ind w:firstLine="504" w:firstLineChars="200"/>
              <w:rPr>
                <w:rFonts w:hint="eastAsia"/>
                <w:color w:val="auto"/>
                <w:sz w:val="21"/>
                <w:highlight w:val="none"/>
              </w:rPr>
            </w:pPr>
            <w:r>
              <w:rPr>
                <w:rFonts w:hint="eastAsia"/>
                <w:color w:val="auto"/>
                <w:sz w:val="21"/>
                <w:highlight w:val="none"/>
              </w:rPr>
              <w:t>空家等の除却工事</w:t>
            </w:r>
          </w:p>
          <w:p>
            <w:pPr>
              <w:pStyle w:val="0"/>
              <w:rPr>
                <w:rFonts w:hint="eastAsia"/>
              </w:rPr>
            </w:pPr>
          </w:p>
        </w:tc>
        <w:tc>
          <w:tcPr>
            <w:tcW w:w="5845" w:type="dxa"/>
            <w:vAlign w:val="top"/>
          </w:tcPr>
          <w:p>
            <w:pPr>
              <w:pStyle w:val="0"/>
              <w:ind w:left="252" w:hanging="252" w:hangingChars="100"/>
              <w:rPr>
                <w:rFonts w:hint="eastAsia"/>
                <w:color w:val="auto"/>
                <w:sz w:val="21"/>
                <w:highlight w:val="none"/>
              </w:rPr>
            </w:pPr>
            <w:r>
              <w:rPr>
                <w:rFonts w:hint="eastAsia"/>
                <w:color w:val="auto"/>
                <w:sz w:val="21"/>
                <w:highlight w:val="none"/>
              </w:rPr>
              <w:t>・居住誘導区域に指定された区域外においては、除却後に居住を目的とした跡地利用をしないこと</w:t>
            </w:r>
          </w:p>
          <w:p>
            <w:pPr>
              <w:pStyle w:val="0"/>
              <w:ind w:left="252" w:hanging="252" w:hangingChars="100"/>
              <w:rPr>
                <w:rFonts w:hint="eastAsia"/>
              </w:rPr>
            </w:pPr>
            <w:r>
              <w:rPr>
                <w:rFonts w:hint="eastAsia" w:asciiTheme="minorEastAsia" w:hAnsiTheme="minorEastAsia"/>
                <w:b w:val="0"/>
                <w:color w:val="auto"/>
                <w:sz w:val="21"/>
                <w:highlight w:val="none"/>
                <w:u w:val="none" w:color="auto"/>
              </w:rPr>
              <w:t>・居住誘導区域に指定された区域外の除却後の跡地を居住を目的とした跡地利用のために売却しないこと</w:t>
            </w:r>
          </w:p>
        </w:tc>
      </w:tr>
      <w:tr>
        <w:trPr/>
        <w:tc>
          <w:tcPr>
            <w:tcW w:w="3509" w:type="dxa"/>
            <w:vAlign w:val="top"/>
          </w:tcPr>
          <w:p>
            <w:pPr>
              <w:pStyle w:val="0"/>
              <w:rPr>
                <w:rFonts w:hint="eastAsia"/>
                <w:color w:val="auto"/>
                <w:sz w:val="21"/>
                <w:highlight w:val="none"/>
              </w:rPr>
            </w:pPr>
            <w:r>
              <w:rPr>
                <w:rFonts w:hint="eastAsia"/>
                <w:color w:val="auto"/>
                <w:sz w:val="21"/>
                <w:highlight w:val="none"/>
              </w:rPr>
              <w:t>□　宅地建物取引業者以外</w:t>
            </w:r>
          </w:p>
          <w:p>
            <w:pPr>
              <w:pStyle w:val="0"/>
              <w:ind w:firstLine="504" w:firstLineChars="200"/>
              <w:rPr>
                <w:rFonts w:hint="eastAsia"/>
              </w:rPr>
            </w:pPr>
            <w:r>
              <w:rPr>
                <w:rFonts w:hint="eastAsia"/>
                <w:color w:val="auto"/>
                <w:sz w:val="21"/>
                <w:highlight w:val="none"/>
              </w:rPr>
              <w:t>の空家等の除却工事</w:t>
            </w:r>
          </w:p>
        </w:tc>
        <w:tc>
          <w:tcPr>
            <w:tcW w:w="5845" w:type="dxa"/>
            <w:vAlign w:val="top"/>
          </w:tcPr>
          <w:p>
            <w:pPr>
              <w:pStyle w:val="0"/>
              <w:ind w:left="252" w:hanging="252" w:hangingChars="100"/>
              <w:rPr>
                <w:rFonts w:hint="eastAsia"/>
              </w:rPr>
            </w:pPr>
            <w:r>
              <w:rPr>
                <w:rFonts w:hint="eastAsia"/>
                <w:color w:val="auto"/>
                <w:sz w:val="21"/>
                <w:highlight w:val="none"/>
              </w:rPr>
              <w:t>・居住誘導区域に指定された区域外においては、除却後に居住を目的とした跡地利用をしないこと</w:t>
            </w:r>
          </w:p>
        </w:tc>
      </w:tr>
      <w:tr>
        <w:trPr/>
        <w:tc>
          <w:tcPr>
            <w:tcW w:w="3509" w:type="dxa"/>
            <w:vAlign w:val="top"/>
          </w:tcPr>
          <w:p>
            <w:pPr>
              <w:pStyle w:val="0"/>
              <w:rPr>
                <w:rFonts w:hint="eastAsia"/>
                <w:color w:val="auto"/>
                <w:sz w:val="21"/>
                <w:highlight w:val="none"/>
              </w:rPr>
            </w:pPr>
            <w:r>
              <w:rPr>
                <w:rFonts w:hint="eastAsia"/>
                <w:color w:val="auto"/>
                <w:sz w:val="21"/>
                <w:highlight w:val="none"/>
              </w:rPr>
              <w:t>□　宅地建物取引業者による</w:t>
            </w:r>
          </w:p>
          <w:p>
            <w:pPr>
              <w:pStyle w:val="0"/>
              <w:ind w:firstLine="504" w:firstLineChars="200"/>
              <w:rPr>
                <w:rFonts w:hint="eastAsia"/>
              </w:rPr>
            </w:pPr>
            <w:r>
              <w:rPr>
                <w:rFonts w:hint="eastAsia"/>
                <w:color w:val="auto"/>
                <w:sz w:val="21"/>
                <w:highlight w:val="none"/>
              </w:rPr>
              <w:t>特定空家等の除却工事</w:t>
            </w:r>
          </w:p>
        </w:tc>
        <w:tc>
          <w:tcPr>
            <w:tcW w:w="5845" w:type="dxa"/>
            <w:vAlign w:val="top"/>
          </w:tcPr>
          <w:p>
            <w:pPr>
              <w:pStyle w:val="0"/>
              <w:ind w:left="252" w:hanging="252" w:hangingChars="100"/>
              <w:rPr>
                <w:rFonts w:hint="eastAsia"/>
                <w:color w:val="auto"/>
                <w:sz w:val="21"/>
                <w:highlight w:val="none"/>
              </w:rPr>
            </w:pPr>
            <w:r>
              <w:rPr>
                <w:rFonts w:hint="eastAsia"/>
                <w:color w:val="auto"/>
                <w:sz w:val="21"/>
                <w:highlight w:val="none"/>
              </w:rPr>
              <w:t>・居住誘導区域に指定された区域外においては、除却後に居住を目的とした跡地利用をしないこと</w:t>
            </w:r>
          </w:p>
          <w:p>
            <w:pPr>
              <w:pStyle w:val="0"/>
              <w:ind w:left="252" w:hanging="252" w:hangingChars="100"/>
              <w:rPr>
                <w:rFonts w:hint="eastAsia"/>
              </w:rPr>
            </w:pPr>
            <w:r>
              <w:rPr>
                <w:rFonts w:hint="eastAsia" w:asciiTheme="minorEastAsia" w:hAnsiTheme="minorEastAsia"/>
                <w:b w:val="0"/>
                <w:color w:val="auto"/>
                <w:sz w:val="21"/>
                <w:highlight w:val="none"/>
                <w:u w:val="none" w:color="auto"/>
              </w:rPr>
              <w:t>・居住誘導区域に指定された区域外の除却後の跡地を居住を目的とした跡地利用のために売却しないこと</w:t>
            </w:r>
          </w:p>
        </w:tc>
      </w:tr>
    </w:tbl>
    <w:p>
      <w:pPr>
        <w:pStyle w:val="0"/>
        <w:spacing w:line="360" w:lineRule="exact"/>
        <w:rPr>
          <w:rFonts w:hint="default" w:asciiTheme="minorEastAsia" w:hAnsiTheme="minorEastAsia"/>
          <w:b w:val="0"/>
          <w:color w:val="auto"/>
          <w:spacing w:val="2"/>
          <w:sz w:val="24"/>
          <w:highlight w:val="none"/>
          <w:u w:val="none" w:color="auto"/>
        </w:rPr>
      </w:pPr>
      <w:r>
        <w:rPr>
          <w:rFonts w:hint="eastAsia" w:asciiTheme="minorEastAsia" w:hAnsiTheme="minorEastAsia"/>
          <w:b w:val="0"/>
          <w:color w:val="auto"/>
          <w:spacing w:val="2"/>
          <w:sz w:val="20"/>
          <w:highlight w:val="none"/>
          <w:u w:val="none" w:color="auto"/>
        </w:rPr>
        <w:t>※５年間の起算は、</w:t>
      </w:r>
      <w:r>
        <w:rPr>
          <w:rFonts w:hint="eastAsia" w:asciiTheme="minorEastAsia" w:hAnsiTheme="minorEastAsia"/>
          <w:b w:val="0"/>
          <w:color w:val="auto"/>
          <w:sz w:val="20"/>
          <w:highlight w:val="none"/>
          <w:u w:val="none" w:color="auto"/>
        </w:rPr>
        <w:t>補助金の交付が完了する日の属する会計年度の翌年度からとする。</w:t>
      </w:r>
    </w:p>
    <w:p>
      <w:pPr>
        <w:pStyle w:val="0"/>
        <w:ind w:firstLine="282" w:firstLineChars="100"/>
        <w:rPr>
          <w:rFonts w:hint="default"/>
          <w:b w:val="0"/>
          <w:color w:val="auto"/>
          <w:sz w:val="24"/>
          <w:highlight w:val="none"/>
          <w:u w:val="none" w:color="auto"/>
        </w:rPr>
      </w:pPr>
      <w:r>
        <w:rPr>
          <w:rFonts w:hint="eastAsia"/>
          <w:b w:val="0"/>
          <w:color w:val="auto"/>
          <w:sz w:val="24"/>
          <w:highlight w:val="none"/>
          <w:u w:val="none" w:color="auto"/>
        </w:rPr>
        <w:t>登別市長　様</w:t>
      </w:r>
    </w:p>
    <w:p>
      <w:pPr>
        <w:pStyle w:val="0"/>
        <w:ind w:firstLine="6909" w:firstLineChars="2450"/>
        <w:rPr>
          <w:rFonts w:hint="default"/>
          <w:b w:val="0"/>
          <w:color w:val="auto"/>
          <w:sz w:val="24"/>
          <w:highlight w:val="none"/>
          <w:u w:val="none" w:color="auto"/>
        </w:rPr>
      </w:pPr>
      <w:r>
        <w:rPr>
          <w:rFonts w:hint="eastAsia"/>
          <w:b w:val="0"/>
          <w:color w:val="auto"/>
          <w:sz w:val="24"/>
          <w:highlight w:val="none"/>
          <w:u w:val="none" w:color="auto"/>
        </w:rPr>
        <w:t>年　　月　　日</w:t>
      </w:r>
    </w:p>
    <w:p>
      <w:pPr>
        <w:pStyle w:val="0"/>
        <w:ind w:left="0" w:leftChars="0" w:firstLine="4230" w:firstLineChars="1500"/>
        <w:rPr>
          <w:rFonts w:hint="default"/>
          <w:b w:val="0"/>
          <w:color w:val="auto"/>
          <w:sz w:val="24"/>
          <w:highlight w:val="none"/>
          <w:u w:val="none" w:color="auto"/>
        </w:rPr>
      </w:pPr>
      <w:r>
        <w:rPr>
          <w:rFonts w:hint="eastAsia"/>
          <w:b w:val="0"/>
          <w:color w:val="auto"/>
          <w:sz w:val="24"/>
          <w:highlight w:val="none"/>
          <w:u w:val="none" w:color="auto"/>
        </w:rPr>
        <w:t>（交付決定者）</w:t>
      </w:r>
    </w:p>
    <w:p>
      <w:pPr>
        <w:pStyle w:val="0"/>
        <w:ind w:left="0" w:leftChars="0" w:firstLine="4794" w:firstLineChars="1700"/>
        <w:rPr>
          <w:rFonts w:hint="default"/>
          <w:b w:val="0"/>
          <w:color w:val="auto"/>
          <w:sz w:val="24"/>
          <w:highlight w:val="none"/>
          <w:u w:val="none" w:color="auto"/>
        </w:rPr>
      </w:pPr>
      <w:r>
        <w:rPr>
          <w:rFonts w:hint="eastAsia"/>
          <w:b w:val="0"/>
          <w:color w:val="auto"/>
          <w:sz w:val="24"/>
          <w:highlight w:val="none"/>
          <w:u w:val="none" w:color="auto"/>
        </w:rPr>
        <w:t>住　　所</w:t>
      </w:r>
      <w:r>
        <w:rPr>
          <w:rFonts w:hint="eastAsia"/>
          <w:b w:val="0"/>
          <w:color w:val="auto"/>
          <w:sz w:val="24"/>
          <w:highlight w:val="none"/>
          <w:u w:val="none" w:color="auto"/>
        </w:rPr>
        <w:t xml:space="preserve"> </w:t>
      </w:r>
    </w:p>
    <w:p>
      <w:pPr>
        <w:pStyle w:val="0"/>
        <w:tabs>
          <w:tab w:val="left" w:leader="none" w:pos="8532"/>
        </w:tabs>
        <w:ind w:left="0" w:leftChars="0" w:right="5" w:rightChars="0" w:firstLine="4794" w:firstLineChars="1700"/>
        <w:rPr>
          <w:rFonts w:hint="default" w:asciiTheme="minorEastAsia" w:hAnsiTheme="minorEastAsia"/>
          <w:b w:val="0"/>
          <w:color w:val="auto"/>
          <w:sz w:val="24"/>
          <w:highlight w:val="none"/>
          <w:u w:val="none" w:color="auto"/>
        </w:rPr>
      </w:pPr>
      <w:r>
        <w:rPr>
          <w:rFonts w:hint="eastAsia"/>
          <w:b w:val="0"/>
          <w:color w:val="auto"/>
          <w:sz w:val="24"/>
          <w:highlight w:val="none"/>
          <w:u w:val="none" w:color="auto"/>
        </w:rPr>
        <w:t>氏　　名　　　　　　　　　　</w:t>
      </w:r>
      <w:bookmarkStart w:id="0" w:name="_GoBack"/>
      <w:bookmarkEnd w:id="0"/>
    </w:p>
    <w:sectPr>
      <w:pgSz w:w="11906" w:h="16838"/>
      <w:pgMar w:top="1417" w:right="1134" w:bottom="1417" w:left="1417" w:header="851" w:footer="992" w:gutter="0"/>
      <w:cols w:space="720"/>
      <w:textDirection w:val="lrTb"/>
      <w:docGrid w:type="linesAndChars" w:linePitch="389" w:charSpace="86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4"/>
  <w:bordersDoNotSurroundHeader/>
  <w:bordersDoNotSurroundFooter/>
  <w:defaultTabStop w:val="840"/>
  <w:hyphenationZone w:val="0"/>
  <w:defaultTableStyle w:val="34"/>
  <w:drawingGridHorizontalSpacing w:val="251"/>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ody Text Indent"/>
    <w:basedOn w:val="0"/>
    <w:next w:val="21"/>
    <w:link w:val="22"/>
    <w:uiPriority w:val="0"/>
    <w:pPr>
      <w:ind w:firstLine="240" w:firstLineChars="100"/>
    </w:pPr>
    <w:rPr>
      <w:rFonts w:ascii="ＭＳ 明朝" w:hAnsi="ＭＳ 明朝" w:eastAsia="ＭＳ 明朝"/>
      <w:sz w:val="24"/>
    </w:rPr>
  </w:style>
  <w:style w:type="character" w:styleId="22" w:customStyle="1">
    <w:name w:val="本文インデント (文字)"/>
    <w:basedOn w:val="10"/>
    <w:next w:val="22"/>
    <w:link w:val="21"/>
    <w:uiPriority w:val="0"/>
    <w:rPr>
      <w:rFonts w:ascii="ＭＳ 明朝" w:hAnsi="ＭＳ 明朝" w:eastAsia="ＭＳ 明朝"/>
      <w:sz w:val="24"/>
    </w:rPr>
  </w:style>
  <w:style w:type="paragraph" w:styleId="23">
    <w:name w:val="Note Heading"/>
    <w:basedOn w:val="0"/>
    <w:next w:val="0"/>
    <w:link w:val="24"/>
    <w:uiPriority w:val="0"/>
    <w:pPr>
      <w:jc w:val="center"/>
    </w:pPr>
    <w:rPr>
      <w:rFonts w:ascii="ＭＳ 明朝" w:hAnsi="ＭＳ 明朝" w:eastAsia="ＭＳ 明朝"/>
    </w:rPr>
  </w:style>
  <w:style w:type="character" w:styleId="24" w:customStyle="1">
    <w:name w:val="記 (文字)"/>
    <w:basedOn w:val="10"/>
    <w:next w:val="24"/>
    <w:link w:val="23"/>
    <w:uiPriority w:val="0"/>
    <w:rPr>
      <w:rFonts w:ascii="ＭＳ 明朝" w:hAnsi="ＭＳ 明朝" w:eastAsia="ＭＳ 明朝"/>
    </w:rPr>
  </w:style>
  <w:style w:type="paragraph" w:styleId="25">
    <w:name w:val="List Paragraph"/>
    <w:basedOn w:val="0"/>
    <w:next w:val="25"/>
    <w:link w:val="0"/>
    <w:uiPriority w:val="0"/>
    <w:qFormat/>
    <w:pPr>
      <w:ind w:left="840" w:leftChars="400"/>
    </w:p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paragraph" w:styleId="31">
    <w:name w:val="Balloon Text"/>
    <w:basedOn w:val="0"/>
    <w:next w:val="31"/>
    <w:link w:val="32"/>
    <w:uiPriority w:val="0"/>
    <w:semiHidden/>
    <w:rPr>
      <w:rFonts w:asciiTheme="majorHAnsi" w:hAnsiTheme="majorHAnsi" w:eastAsiaTheme="majorEastAsia"/>
      <w:sz w:val="18"/>
    </w:rPr>
  </w:style>
  <w:style w:type="character" w:styleId="32" w:customStyle="1">
    <w:name w:val="吹き出し (文字)"/>
    <w:basedOn w:val="10"/>
    <w:next w:val="32"/>
    <w:link w:val="31"/>
    <w:uiPriority w:val="0"/>
    <w:rPr>
      <w:rFonts w:asciiTheme="majorHAnsi" w:hAnsiTheme="majorHAnsi" w:eastAsiaTheme="majorEastAsia"/>
      <w:sz w:val="18"/>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472</TotalTime>
  <Pages>32</Pages>
  <Words>0</Words>
  <Characters>15087</Characters>
  <Application>JUST Note</Application>
  <Lines>29800</Lines>
  <Paragraphs>639</Paragraphs>
  <CharactersWithSpaces>16874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佐藤 泰暦</dc:creator>
  <cp:lastModifiedBy>斑目桂司</cp:lastModifiedBy>
  <dcterms:created xsi:type="dcterms:W3CDTF">2022-04-07T04:48:00Z</dcterms:created>
  <dcterms:modified xsi:type="dcterms:W3CDTF">2022-04-11T10:20:37Z</dcterms:modified>
  <cp:revision>27</cp:revision>
</cp:coreProperties>
</file>